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entury Gothic" w:cs="Century Gothic" w:eastAsia="Century Gothic" w:hAnsi="Century Gothic"/>
          <w:b w:val="1"/>
          <w:color w:val="333333"/>
          <w:sz w:val="28"/>
          <w:szCs w:val="28"/>
        </w:rPr>
      </w:pPr>
      <w:r w:rsidDel="00000000" w:rsidR="00000000" w:rsidRPr="00000000">
        <w:rPr>
          <w:rFonts w:ascii="Century Gothic" w:cs="Century Gothic" w:eastAsia="Century Gothic" w:hAnsi="Century Gothic"/>
          <w:b w:val="1"/>
          <w:color w:val="333333"/>
          <w:sz w:val="28"/>
          <w:szCs w:val="28"/>
          <w:rtl w:val="0"/>
        </w:rPr>
        <w:t xml:space="preserve">A TRAVÉS DE UNA INICIATIVA INTERNA, GRUPO VIDANTA ENTREGÓ MÁS DE 3,500 JUGUETES EL PASADO DÍA DE REYES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rFonts w:ascii="Century Gothic" w:cs="Century Gothic" w:eastAsia="Century Gothic" w:hAnsi="Century Gothic"/>
          <w:color w:val="333333"/>
        </w:rPr>
      </w:pPr>
      <w:r w:rsidDel="00000000" w:rsidR="00000000" w:rsidRPr="00000000">
        <w:rPr>
          <w:rFonts w:ascii="Century Gothic" w:cs="Century Gothic" w:eastAsia="Century Gothic" w:hAnsi="Century Gothic"/>
          <w:color w:val="333333"/>
          <w:rtl w:val="0"/>
        </w:rPr>
        <w:t xml:space="preserve">Beneficiando a más de 2,000 niños y niñas de escasos recursos de la comunidad de Bahía de Banderas, Grupo Vidanta con la valiosa ayuda de sus colaboradores, entregó más de 3,500 juguetes para celebrar el Día de los Reyes Magos.</w:t>
      </w:r>
    </w:p>
    <w:p w:rsidR="00000000" w:rsidDel="00000000" w:rsidP="00000000" w:rsidRDefault="00000000" w:rsidRPr="00000000" w14:paraId="00000005">
      <w:pPr>
        <w:spacing w:line="240" w:lineRule="auto"/>
        <w:rPr>
          <w:rFonts w:ascii="Century Gothic" w:cs="Century Gothic" w:eastAsia="Century Gothic" w:hAnsi="Century Gothic"/>
          <w:color w:val="333333"/>
        </w:rPr>
      </w:pPr>
      <w:r w:rsidDel="00000000" w:rsidR="00000000" w:rsidRPr="00000000">
        <w:rPr>
          <w:rtl w:val="0"/>
        </w:rPr>
      </w:r>
    </w:p>
    <w:p w:rsidR="00000000" w:rsidDel="00000000" w:rsidP="00000000" w:rsidRDefault="00000000" w:rsidRPr="00000000" w14:paraId="00000006">
      <w:pPr>
        <w:spacing w:line="240" w:lineRule="auto"/>
        <w:jc w:val="both"/>
        <w:rPr>
          <w:rFonts w:ascii="Century Gothic" w:cs="Century Gothic" w:eastAsia="Century Gothic" w:hAnsi="Century Gothic"/>
          <w:color w:val="333333"/>
        </w:rPr>
      </w:pPr>
      <w:r w:rsidDel="00000000" w:rsidR="00000000" w:rsidRPr="00000000">
        <w:rPr>
          <w:rtl w:val="0"/>
        </w:rPr>
      </w:r>
    </w:p>
    <w:p w:rsidR="00000000" w:rsidDel="00000000" w:rsidP="00000000" w:rsidRDefault="00000000" w:rsidRPr="00000000" w14:paraId="00000007">
      <w:pPr>
        <w:spacing w:line="240" w:lineRule="auto"/>
        <w:jc w:val="both"/>
        <w:rPr>
          <w:rFonts w:ascii="Century Gothic" w:cs="Century Gothic" w:eastAsia="Century Gothic" w:hAnsi="Century Gothic"/>
          <w:color w:val="333333"/>
        </w:rPr>
      </w:pPr>
      <w:r w:rsidDel="00000000" w:rsidR="00000000" w:rsidRPr="00000000">
        <w:rPr>
          <w:rFonts w:ascii="Century Gothic" w:cs="Century Gothic" w:eastAsia="Century Gothic" w:hAnsi="Century Gothic"/>
          <w:b w:val="1"/>
          <w:rtl w:val="0"/>
        </w:rPr>
        <w:t xml:space="preserve">Ciudad de México, a 8 de enero de 2020.</w:t>
      </w:r>
      <w:r w:rsidDel="00000000" w:rsidR="00000000" w:rsidRPr="00000000">
        <w:rPr>
          <w:rFonts w:ascii="Century Gothic" w:cs="Century Gothic" w:eastAsia="Century Gothic" w:hAnsi="Century Gothic"/>
          <w:b w:val="1"/>
          <w:rtl w:val="0"/>
        </w:rPr>
        <w:t xml:space="preserv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color w:val="333333"/>
          <w:rtl w:val="0"/>
        </w:rPr>
        <w:t xml:space="preserve">En el marco de la celebración del Día de los Reyes Magos y a través de la onceava edición de su iniciativa interna, Juguetón,  en la que contaron con la admirable ayuda de sus colaboradores, Grupo Vidanta –el desarrollador líder de resorts e infraestructuras turísticas en México y Latinoamérica– realizó la entrega de 3,572 juguetes a niños y niñas de escasos recursos de diversas colonias de Bahía de Banderas en Nayarit, el pasado 6 de enero.</w:t>
      </w:r>
    </w:p>
    <w:p w:rsidR="00000000" w:rsidDel="00000000" w:rsidP="00000000" w:rsidRDefault="00000000" w:rsidRPr="00000000" w14:paraId="00000008">
      <w:pPr>
        <w:spacing w:line="240" w:lineRule="auto"/>
        <w:jc w:val="both"/>
        <w:rPr>
          <w:rFonts w:ascii="Century Gothic" w:cs="Century Gothic" w:eastAsia="Century Gothic" w:hAnsi="Century Gothic"/>
          <w:color w:val="333333"/>
        </w:rPr>
      </w:pP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color w:val="333333"/>
        </w:rPr>
      </w:pPr>
      <w:r w:rsidDel="00000000" w:rsidR="00000000" w:rsidRPr="00000000">
        <w:rPr>
          <w:rFonts w:ascii="Century Gothic" w:cs="Century Gothic" w:eastAsia="Century Gothic" w:hAnsi="Century Gothic"/>
          <w:color w:val="333333"/>
          <w:rtl w:val="0"/>
        </w:rPr>
        <w:t xml:space="preserve">Superando su objetivo de recaudación, más de 30 colaboradores del complejo Vidanta Nuevo Vallarta entregaron los juguetes recaudados durante todo el mes de diciembre, a más 2,000 niños y niñas de las diferentes comunidades de Bahía de Banderas, creando hermosos recuerdos junto a ellos.</w:t>
      </w:r>
    </w:p>
    <w:p w:rsidR="00000000" w:rsidDel="00000000" w:rsidP="00000000" w:rsidRDefault="00000000" w:rsidRPr="00000000" w14:paraId="0000000A">
      <w:pPr>
        <w:spacing w:line="240" w:lineRule="auto"/>
        <w:jc w:val="both"/>
        <w:rPr>
          <w:rFonts w:ascii="Century Gothic" w:cs="Century Gothic" w:eastAsia="Century Gothic" w:hAnsi="Century Gothic"/>
          <w:color w:val="333333"/>
        </w:rPr>
      </w:pPr>
      <w:r w:rsidDel="00000000" w:rsidR="00000000" w:rsidRPr="00000000">
        <w:rPr>
          <w:rtl w:val="0"/>
        </w:rPr>
      </w:r>
    </w:p>
    <w:p w:rsidR="00000000" w:rsidDel="00000000" w:rsidP="00000000" w:rsidRDefault="00000000" w:rsidRPr="00000000" w14:paraId="0000000B">
      <w:pPr>
        <w:spacing w:line="240" w:lineRule="auto"/>
        <w:jc w:val="both"/>
        <w:rPr>
          <w:rFonts w:ascii="Century Gothic" w:cs="Century Gothic" w:eastAsia="Century Gothic" w:hAnsi="Century Gothic"/>
          <w:color w:val="333333"/>
        </w:rPr>
      </w:pPr>
      <w:r w:rsidDel="00000000" w:rsidR="00000000" w:rsidRPr="00000000">
        <w:rPr>
          <w:rFonts w:ascii="Century Gothic" w:cs="Century Gothic" w:eastAsia="Century Gothic" w:hAnsi="Century Gothic"/>
          <w:color w:val="333333"/>
          <w:rtl w:val="0"/>
        </w:rPr>
        <w:t xml:space="preserve">Fiel a su misión de inspirar generaciones de felicidad, Grupo Vidanta contínuamente realiza acciones a favor de los niños y niñas de todo el país que se encuentran en condiciones desfavorables; cuidando y promoviendo su bienestar en cada uno de los destinos en los que está presente.</w:t>
      </w:r>
    </w:p>
    <w:p w:rsidR="00000000" w:rsidDel="00000000" w:rsidP="00000000" w:rsidRDefault="00000000" w:rsidRPr="00000000" w14:paraId="0000000C">
      <w:pPr>
        <w:spacing w:line="240" w:lineRule="auto"/>
        <w:jc w:val="both"/>
        <w:rPr>
          <w:rFonts w:ascii="Century Gothic" w:cs="Century Gothic" w:eastAsia="Century Gothic" w:hAnsi="Century Gothic"/>
          <w:color w:val="333333"/>
        </w:rPr>
      </w:pPr>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color w:val="333333"/>
        </w:rPr>
      </w:pPr>
      <w:r w:rsidDel="00000000" w:rsidR="00000000" w:rsidRPr="00000000">
        <w:rPr>
          <w:rFonts w:ascii="Century Gothic" w:cs="Century Gothic" w:eastAsia="Century Gothic" w:hAnsi="Century Gothic"/>
          <w:color w:val="333333"/>
          <w:rtl w:val="0"/>
        </w:rPr>
        <w:t xml:space="preserve">Para más información sobre esta y otras iniciativas del Grupo, por favor visite </w:t>
      </w:r>
      <w:hyperlink r:id="rId6">
        <w:r w:rsidDel="00000000" w:rsidR="00000000" w:rsidRPr="00000000">
          <w:rPr>
            <w:rFonts w:ascii="Century Gothic" w:cs="Century Gothic" w:eastAsia="Century Gothic" w:hAnsi="Century Gothic"/>
            <w:color w:val="1155cc"/>
            <w:u w:val="single"/>
            <w:rtl w:val="0"/>
          </w:rPr>
          <w:t xml:space="preserve">www.GrupoVidanta.com</w:t>
        </w:r>
      </w:hyperlink>
      <w:r w:rsidDel="00000000" w:rsidR="00000000" w:rsidRPr="00000000">
        <w:rPr>
          <w:rFonts w:ascii="Century Gothic" w:cs="Century Gothic" w:eastAsia="Century Gothic" w:hAnsi="Century Gothic"/>
          <w:color w:val="333333"/>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line="276"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10">
      <w:pPr>
        <w:spacing w:line="276" w:lineRule="auto"/>
        <w:jc w:val="both"/>
        <w:rPr>
          <w:rFonts w:ascii="Century Gothic" w:cs="Century Gothic" w:eastAsia="Century Gothic" w:hAnsi="Century Gothic"/>
          <w:sz w:val="18"/>
          <w:szCs w:val="18"/>
          <w:highlight w:val="yellow"/>
        </w:rPr>
      </w:pPr>
      <w:r w:rsidDel="00000000" w:rsidR="00000000" w:rsidRPr="00000000">
        <w:rPr>
          <w:rtl w:val="0"/>
        </w:rPr>
      </w:r>
    </w:p>
    <w:p w:rsidR="00000000" w:rsidDel="00000000" w:rsidP="00000000" w:rsidRDefault="00000000" w:rsidRPr="00000000" w14:paraId="00000011">
      <w:pPr>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Acerca de Grupo Vidanta</w:t>
      </w:r>
      <w:r w:rsidDel="00000000" w:rsidR="00000000" w:rsidRPr="00000000">
        <w:rPr>
          <w:rtl w:val="0"/>
        </w:rPr>
      </w:r>
    </w:p>
    <w:p w:rsidR="00000000" w:rsidDel="00000000" w:rsidP="00000000" w:rsidRDefault="00000000" w:rsidRPr="00000000" w14:paraId="00000012">
      <w:pPr>
        <w:spacing w:after="20"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3">
      <w:pPr>
        <w:spacing w:after="20"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Fundado en 1974 por el visionario líder de la industria turística, Daniel Chávez Morán, Grupo Vidanta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w:t>
      </w:r>
    </w:p>
    <w:p w:rsidR="00000000" w:rsidDel="00000000" w:rsidP="00000000" w:rsidRDefault="00000000" w:rsidRPr="00000000" w14:paraId="00000014">
      <w:pPr>
        <w:spacing w:after="20"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5">
      <w:pPr>
        <w:spacing w:after="20"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Desde hoteles galardonados con Cinco Diamantes por la AAA hasta una colección internacionalmente reconocida de campos de golf, Grupo Vidanta continúa siendo pionero en alianzas innovadoras. Dentro </w:t>
      </w:r>
    </w:p>
    <w:p w:rsidR="00000000" w:rsidDel="00000000" w:rsidP="00000000" w:rsidRDefault="00000000" w:rsidRPr="00000000" w14:paraId="00000016">
      <w:pPr>
        <w:spacing w:after="20"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7">
      <w:pPr>
        <w:spacing w:after="20"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de estas originales colaboraciones se incluye Cirque du Soleil JOYÀ, la primera experiencia teatral y culinaria, única en su tipo en México y permanente en la Riviera Maya; un exclusivo acuerdo a largo plazo con la compañía internacional de hospitalidad Hakkasan Group para presentar una serie de experiencias novedosas de nightlife, estilo de vida y gastronómicas, empezando con Omnia Dayclub, Casa Calavera y SHOREbar en Vidanta Los Cabos;  así como una relación constante con Nicklaus Designs y Greg Norman Golf Course Design para desarrollar espectaculares campos de golf profesionales dentro de los diferentes destinos de Vidanta.</w:t>
      </w:r>
    </w:p>
    <w:p w:rsidR="00000000" w:rsidDel="00000000" w:rsidP="00000000" w:rsidRDefault="00000000" w:rsidRPr="00000000" w14:paraId="00000018">
      <w:pPr>
        <w:spacing w:after="20"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9">
      <w:pPr>
        <w:spacing w:after="20"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1A">
      <w:pPr>
        <w:spacing w:after="20"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B">
      <w:pPr>
        <w:spacing w:after="20" w:line="276" w:lineRule="auto"/>
        <w:jc w:val="both"/>
        <w:rPr>
          <w:rFonts w:ascii="Century Gothic" w:cs="Century Gothic" w:eastAsia="Century Gothic" w:hAnsi="Century Gothic"/>
          <w:sz w:val="18"/>
          <w:szCs w:val="18"/>
        </w:rPr>
      </w:pPr>
      <w:bookmarkStart w:colFirst="0" w:colLast="0" w:name="_1fob9te" w:id="0"/>
      <w:bookmarkEnd w:id="0"/>
      <w:r w:rsidDel="00000000" w:rsidR="00000000" w:rsidRPr="00000000">
        <w:rPr>
          <w:rFonts w:ascii="Century Gothic" w:cs="Century Gothic" w:eastAsia="Century Gothic" w:hAnsi="Century Gothic"/>
          <w:sz w:val="18"/>
          <w:szCs w:val="18"/>
          <w:rtl w:val="0"/>
        </w:rPr>
        <w:t xml:space="preserve">Nombrada durante 10 años consecutivos como una de las "Mejores Empresas para Trabajar en México", la organización mantiene un fuerte compromiso con sus 17,000 colaboradores y las comunidades cercanas, a través de su continua misión dedicada a esfuerzos ambientales y sociales, incluyendo el Distintivo de Empresa Socialmente Responsable 2019 otorgado por el CEMEFI (Centro Mexicano para la Filantropía A.C.), las certificaciones EarthCheck y sus fundaciones sin fines de lucro, Fundación Vidanta y Fundación Delia Morán Vidanta.</w:t>
      </w:r>
    </w:p>
    <w:p w:rsidR="00000000" w:rsidDel="00000000" w:rsidP="00000000" w:rsidRDefault="00000000" w:rsidRPr="00000000" w14:paraId="0000001C">
      <w:pPr>
        <w:spacing w:after="20"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D">
      <w:pPr>
        <w:spacing w:after="20"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Este 2019, Grupo Vidanta anunció la introducción The Estates a su portafolio, la más exclusiva y suntuosa opción de hospedaje que ofrecerá extraordinarias amenidades y experiencias vacacionales en México; así como la apertura del lujoso parque acuático Jungala, que ofrece una experiencia única para disfrutar de lo mejor de la naturaleza, el descanso y las atracciones acuáticas en un magnífico entorno; además del próximo lanzamiento de la primera línea mexicana de cruceros de lujo, Vidanta Cruises.</w:t>
      </w:r>
    </w:p>
    <w:p w:rsidR="00000000" w:rsidDel="00000000" w:rsidP="00000000" w:rsidRDefault="00000000" w:rsidRPr="00000000" w14:paraId="0000001E">
      <w:pPr>
        <w:spacing w:after="20"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F">
      <w:pPr>
        <w:spacing w:after="20"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Para obtener más información, visite </w:t>
      </w:r>
      <w:hyperlink r:id="rId7">
        <w:r w:rsidDel="00000000" w:rsidR="00000000" w:rsidRPr="00000000">
          <w:rPr>
            <w:rFonts w:ascii="Century Gothic" w:cs="Century Gothic" w:eastAsia="Century Gothic" w:hAnsi="Century Gothic"/>
            <w:color w:val="1155cc"/>
            <w:sz w:val="18"/>
            <w:szCs w:val="18"/>
            <w:u w:val="single"/>
            <w:rtl w:val="0"/>
          </w:rPr>
          <w:t xml:space="preserve">www.GrupoVidanta.com</w:t>
        </w:r>
      </w:hyperlink>
      <w:r w:rsidDel="00000000" w:rsidR="00000000" w:rsidRPr="00000000">
        <w:rPr>
          <w:rFonts w:ascii="Century Gothic" w:cs="Century Gothic" w:eastAsia="Century Gothic" w:hAnsi="Century Gothic"/>
          <w:sz w:val="18"/>
          <w:szCs w:val="18"/>
          <w:rtl w:val="0"/>
        </w:rPr>
        <w:t xml:space="preserve">.</w:t>
      </w:r>
    </w:p>
    <w:p w:rsidR="00000000" w:rsidDel="00000000" w:rsidP="00000000" w:rsidRDefault="00000000" w:rsidRPr="00000000" w14:paraId="00000020">
      <w:pPr>
        <w:spacing w:after="20" w:line="276" w:lineRule="auto"/>
        <w:jc w:val="both"/>
        <w:rPr>
          <w:rFonts w:ascii="Century Gothic" w:cs="Century Gothic" w:eastAsia="Century Gothic" w:hAnsi="Century Gothic"/>
          <w:sz w:val="18"/>
          <w:szCs w:val="18"/>
          <w:highlight w:val="yellow"/>
        </w:rPr>
      </w:pPr>
      <w:r w:rsidDel="00000000" w:rsidR="00000000" w:rsidRPr="00000000">
        <w:rPr>
          <w:rtl w:val="0"/>
        </w:rPr>
      </w:r>
    </w:p>
    <w:p w:rsidR="00000000" w:rsidDel="00000000" w:rsidP="00000000" w:rsidRDefault="00000000" w:rsidRPr="00000000" w14:paraId="00000021">
      <w:pPr>
        <w:widowControl w:val="0"/>
        <w:spacing w:line="240"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2">
      <w:pPr>
        <w:widowControl w:val="0"/>
        <w:spacing w:line="240"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3">
      <w:pPr>
        <w:widowControl w:val="0"/>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CONTACTO</w:t>
      </w:r>
    </w:p>
    <w:p w:rsidR="00000000" w:rsidDel="00000000" w:rsidP="00000000" w:rsidRDefault="00000000" w:rsidRPr="00000000" w14:paraId="00000024">
      <w:pPr>
        <w:widowControl w:val="0"/>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5">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Sandy Machuca</w:t>
      </w:r>
    </w:p>
    <w:p w:rsidR="00000000" w:rsidDel="00000000" w:rsidP="00000000" w:rsidRDefault="00000000" w:rsidRPr="00000000" w14:paraId="00000026">
      <w:pPr>
        <w:widowControl w:val="0"/>
        <w:spacing w:line="240" w:lineRule="auto"/>
        <w:jc w:val="both"/>
        <w:rPr>
          <w:rFonts w:ascii="Century Gothic" w:cs="Century Gothic" w:eastAsia="Century Gothic" w:hAnsi="Century Gothic"/>
        </w:rPr>
      </w:pPr>
      <w:hyperlink r:id="rId8">
        <w:r w:rsidDel="00000000" w:rsidR="00000000" w:rsidRPr="00000000">
          <w:rPr>
            <w:rFonts w:ascii="Century Gothic" w:cs="Century Gothic" w:eastAsia="Century Gothic" w:hAnsi="Century Gothic"/>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7">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Public Relations Manager</w:t>
      </w:r>
    </w:p>
    <w:p w:rsidR="00000000" w:rsidDel="00000000" w:rsidP="00000000" w:rsidRDefault="00000000" w:rsidRPr="00000000" w14:paraId="00000028">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 Ext. 3415</w:t>
      </w:r>
    </w:p>
    <w:p w:rsidR="00000000" w:rsidDel="00000000" w:rsidP="00000000" w:rsidRDefault="00000000" w:rsidRPr="00000000" w14:paraId="00000029">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 04455 2270 5536</w:t>
      </w:r>
    </w:p>
    <w:p w:rsidR="00000000" w:rsidDel="00000000" w:rsidP="00000000" w:rsidRDefault="00000000" w:rsidRPr="00000000" w14:paraId="0000002A">
      <w:pPr>
        <w:widowControl w:val="0"/>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B">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Peisha Yee</w:t>
      </w:r>
    </w:p>
    <w:p w:rsidR="00000000" w:rsidDel="00000000" w:rsidP="00000000" w:rsidRDefault="00000000" w:rsidRPr="00000000" w14:paraId="0000002C">
      <w:pPr>
        <w:widowControl w:val="0"/>
        <w:spacing w:line="240" w:lineRule="auto"/>
        <w:jc w:val="both"/>
        <w:rPr>
          <w:rFonts w:ascii="Century Gothic" w:cs="Century Gothic" w:eastAsia="Century Gothic" w:hAnsi="Century Gothic"/>
        </w:rPr>
      </w:pPr>
      <w:hyperlink r:id="rId9">
        <w:r w:rsidDel="00000000" w:rsidR="00000000" w:rsidRPr="00000000">
          <w:rPr>
            <w:rFonts w:ascii="Century Gothic" w:cs="Century Gothic" w:eastAsia="Century Gothic" w:hAnsi="Century Gothic"/>
            <w:color w:val="1155cc"/>
            <w:u w:val="single"/>
            <w:rtl w:val="0"/>
          </w:rPr>
          <w:t xml:space="preserve">peisha.yee@another.co</w:t>
        </w:r>
      </w:hyperlink>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2D">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Account Executive Sr.</w:t>
      </w:r>
    </w:p>
    <w:p w:rsidR="00000000" w:rsidDel="00000000" w:rsidP="00000000" w:rsidRDefault="00000000" w:rsidRPr="00000000" w14:paraId="0000002E">
      <w:pPr>
        <w:widowControl w:val="0"/>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w:t>
      </w:r>
    </w:p>
    <w:p w:rsidR="00000000" w:rsidDel="00000000" w:rsidP="00000000" w:rsidRDefault="00000000" w:rsidRPr="00000000" w14:paraId="0000002F">
      <w:pPr>
        <w:widowControl w:val="0"/>
        <w:spacing w:line="240" w:lineRule="auto"/>
        <w:jc w:val="both"/>
        <w:rPr/>
      </w:pPr>
      <w:r w:rsidDel="00000000" w:rsidR="00000000" w:rsidRPr="00000000">
        <w:rPr>
          <w:rFonts w:ascii="Century Gothic" w:cs="Century Gothic" w:eastAsia="Century Gothic" w:hAnsi="Century Gothic"/>
          <w:rtl w:val="0"/>
        </w:rPr>
        <w:t xml:space="preserve">M: 04455 3333 5732</w:t>
      </w: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1743075</wp:posOffset>
          </wp:positionH>
          <wp:positionV relativeFrom="paragraph">
            <wp:posOffset>66675</wp:posOffset>
          </wp:positionV>
          <wp:extent cx="2452688" cy="580206"/>
          <wp:effectExtent b="0" l="0" r="0" t="0"/>
          <wp:wrapSquare wrapText="bothSides" distB="0" distT="0" distL="114300" distR="114300"/>
          <wp:docPr descr="Logo%20GV/Grupo-Vidanta.jpg" id="1" name="image1.jpg"/>
          <a:graphic>
            <a:graphicData uri="http://schemas.openxmlformats.org/drawingml/2006/picture">
              <pic:pic>
                <pic:nvPicPr>
                  <pic:cNvPr descr="Logo%20GV/Grupo-Vidanta.jpg" id="0" name="image1.jpg"/>
                  <pic:cNvPicPr preferRelativeResize="0"/>
                </pic:nvPicPr>
                <pic:blipFill>
                  <a:blip r:embed="rId1"/>
                  <a:srcRect b="38629" l="18330" r="17039" t="38866"/>
                  <a:stretch>
                    <a:fillRect/>
                  </a:stretch>
                </pic:blipFill>
                <pic:spPr>
                  <a:xfrm>
                    <a:off x="0" y="0"/>
                    <a:ext cx="2452688" cy="580206"/>
                  </a:xfrm>
                  <a:prstGeom prst="rect"/>
                  <a:ln/>
                </pic:spPr>
              </pic:pic>
            </a:graphicData>
          </a:graphic>
        </wp:anchor>
      </w:drawing>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peisha.yee@another.co" TargetMode="External"/><Relationship Id="rId5" Type="http://schemas.openxmlformats.org/officeDocument/2006/relationships/styles" Target="styles.xml"/><Relationship Id="rId6" Type="http://schemas.openxmlformats.org/officeDocument/2006/relationships/hyperlink" Target="https://www.grupovidanta.com/es/" TargetMode="External"/><Relationship Id="rId7" Type="http://schemas.openxmlformats.org/officeDocument/2006/relationships/hyperlink" Target="http://www.grupovidanta.com" TargetMode="External"/><Relationship Id="rId8" Type="http://schemas.openxmlformats.org/officeDocument/2006/relationships/hyperlink" Target="mailto:sandy@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